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3F534">
      <w:pPr>
        <w:pStyle w:val="4"/>
        <w:spacing w:before="46"/>
        <w:jc w:val="center"/>
        <w:rPr>
          <w:sz w:val="20"/>
        </w:rPr>
      </w:pPr>
      <w:r>
        <w:rPr>
          <w:rFonts w:hint="default"/>
        </w:rPr>
        <w:t>2022 жылға арналған баға белгілеу үшін пайдаланылатын кернеу деңгейлері бойынша желілік ұйымның тұтынушыларына электр энергиясын беру қызметтерін көрсетуге арналған шарттар бойынша берілген электр энергиясының көлемі.</w:t>
      </w:r>
    </w:p>
    <w:tbl>
      <w:tblPr>
        <w:tblStyle w:val="3"/>
        <w:tblW w:w="0" w:type="auto"/>
        <w:tblInd w:w="63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18" w:space="0"/>
          <w:insideV w:val="single" w:color="000000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9"/>
        <w:gridCol w:w="1538"/>
        <w:gridCol w:w="1709"/>
        <w:gridCol w:w="1401"/>
        <w:gridCol w:w="1449"/>
        <w:gridCol w:w="1757"/>
      </w:tblGrid>
      <w:tr w14:paraId="7EE6D025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4909" w:type="dxa"/>
          </w:tcPr>
          <w:p w14:paraId="202A7E64">
            <w:pPr>
              <w:pStyle w:val="7"/>
              <w:jc w:val="left"/>
              <w:rPr>
                <w:sz w:val="18"/>
              </w:rPr>
            </w:pPr>
          </w:p>
        </w:tc>
        <w:tc>
          <w:tcPr>
            <w:tcW w:w="7854" w:type="dxa"/>
            <w:gridSpan w:val="5"/>
          </w:tcPr>
          <w:p w14:paraId="1CF523F5">
            <w:pPr>
              <w:pStyle w:val="7"/>
              <w:spacing w:line="239" w:lineRule="exact"/>
              <w:ind w:left="49"/>
              <w:rPr>
                <w:sz w:val="22"/>
              </w:rPr>
            </w:pPr>
            <w:r>
              <w:rPr>
                <w:sz w:val="22"/>
              </w:rPr>
              <w:t>Уровень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напряжения</w:t>
            </w:r>
          </w:p>
        </w:tc>
      </w:tr>
      <w:tr w14:paraId="61ACFA69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4909" w:type="dxa"/>
            <w:vMerge w:val="restart"/>
          </w:tcPr>
          <w:p w14:paraId="4A03A12E">
            <w:pPr>
              <w:pStyle w:val="7"/>
              <w:spacing w:before="49"/>
              <w:jc w:val="left"/>
              <w:rPr>
                <w:b/>
                <w:sz w:val="22"/>
              </w:rPr>
            </w:pPr>
          </w:p>
          <w:p w14:paraId="7DA48BC0">
            <w:pPr>
              <w:pStyle w:val="7"/>
              <w:ind w:left="131"/>
              <w:jc w:val="left"/>
              <w:rPr>
                <w:sz w:val="22"/>
              </w:rPr>
            </w:pPr>
            <w:r>
              <w:rPr>
                <w:rFonts w:hint="default"/>
                <w:sz w:val="22"/>
              </w:rPr>
              <w:t>Электр энергиясын тасымалдау көлемі, МВт/сағ</w:t>
            </w:r>
          </w:p>
        </w:tc>
        <w:tc>
          <w:tcPr>
            <w:tcW w:w="1538" w:type="dxa"/>
          </w:tcPr>
          <w:p w14:paraId="268F6F8C">
            <w:pPr>
              <w:pStyle w:val="7"/>
              <w:spacing w:line="239" w:lineRule="exact"/>
              <w:ind w:left="48"/>
              <w:rPr>
                <w:sz w:val="22"/>
              </w:rPr>
            </w:pPr>
            <w:r>
              <w:rPr>
                <w:spacing w:val="-5"/>
                <w:sz w:val="22"/>
              </w:rPr>
              <w:t>ВН</w:t>
            </w:r>
          </w:p>
        </w:tc>
        <w:tc>
          <w:tcPr>
            <w:tcW w:w="1709" w:type="dxa"/>
          </w:tcPr>
          <w:p w14:paraId="0041904A">
            <w:pPr>
              <w:pStyle w:val="7"/>
              <w:spacing w:line="239" w:lineRule="exact"/>
              <w:ind w:left="58"/>
              <w:rPr>
                <w:sz w:val="22"/>
              </w:rPr>
            </w:pPr>
            <w:r>
              <w:rPr>
                <w:spacing w:val="-4"/>
                <w:sz w:val="22"/>
              </w:rPr>
              <w:t>СН-</w:t>
            </w:r>
            <w:r>
              <w:rPr>
                <w:spacing w:val="-10"/>
                <w:sz w:val="22"/>
              </w:rPr>
              <w:t>1</w:t>
            </w:r>
          </w:p>
        </w:tc>
        <w:tc>
          <w:tcPr>
            <w:tcW w:w="1401" w:type="dxa"/>
          </w:tcPr>
          <w:p w14:paraId="5E973599">
            <w:pPr>
              <w:pStyle w:val="7"/>
              <w:spacing w:line="239" w:lineRule="exact"/>
              <w:ind w:left="59"/>
              <w:rPr>
                <w:sz w:val="22"/>
              </w:rPr>
            </w:pPr>
            <w:r>
              <w:rPr>
                <w:spacing w:val="-4"/>
                <w:sz w:val="22"/>
              </w:rPr>
              <w:t>СН-</w:t>
            </w:r>
            <w:r>
              <w:rPr>
                <w:spacing w:val="-10"/>
                <w:sz w:val="22"/>
              </w:rPr>
              <w:t>2</w:t>
            </w:r>
          </w:p>
        </w:tc>
        <w:tc>
          <w:tcPr>
            <w:tcW w:w="1449" w:type="dxa"/>
          </w:tcPr>
          <w:p w14:paraId="67A68AEF">
            <w:pPr>
              <w:pStyle w:val="7"/>
              <w:spacing w:line="239" w:lineRule="exact"/>
              <w:ind w:left="60"/>
              <w:rPr>
                <w:sz w:val="22"/>
              </w:rPr>
            </w:pPr>
            <w:r>
              <w:rPr>
                <w:spacing w:val="-5"/>
                <w:sz w:val="22"/>
              </w:rPr>
              <w:t>НН</w:t>
            </w:r>
          </w:p>
        </w:tc>
        <w:tc>
          <w:tcPr>
            <w:tcW w:w="1757" w:type="dxa"/>
          </w:tcPr>
          <w:p w14:paraId="73341A3E">
            <w:pPr>
              <w:pStyle w:val="7"/>
              <w:spacing w:line="239" w:lineRule="exact"/>
              <w:ind w:left="59"/>
              <w:rPr>
                <w:sz w:val="22"/>
              </w:rPr>
            </w:pPr>
            <w:r>
              <w:rPr>
                <w:spacing w:val="-2"/>
                <w:sz w:val="22"/>
              </w:rPr>
              <w:t>Всего</w:t>
            </w:r>
          </w:p>
        </w:tc>
      </w:tr>
      <w:tr w14:paraId="0EAE4DE6"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4909" w:type="dxa"/>
            <w:vMerge w:val="continue"/>
            <w:tcBorders>
              <w:top w:val="nil"/>
            </w:tcBorders>
          </w:tcPr>
          <w:p w14:paraId="7212634F">
            <w:pPr>
              <w:rPr>
                <w:sz w:val="2"/>
                <w:szCs w:val="2"/>
              </w:rPr>
            </w:pPr>
          </w:p>
        </w:tc>
        <w:tc>
          <w:tcPr>
            <w:tcW w:w="1538" w:type="dxa"/>
          </w:tcPr>
          <w:p w14:paraId="31CAA72D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50483277">
            <w:pPr>
              <w:pStyle w:val="7"/>
              <w:spacing w:before="1"/>
              <w:ind w:left="48"/>
              <w:rPr>
                <w:sz w:val="22"/>
              </w:rPr>
            </w:pPr>
            <w:r>
              <w:rPr>
                <w:spacing w:val="-2"/>
                <w:sz w:val="22"/>
              </w:rPr>
              <w:t>271808,037</w:t>
            </w:r>
          </w:p>
        </w:tc>
        <w:tc>
          <w:tcPr>
            <w:tcW w:w="1709" w:type="dxa"/>
          </w:tcPr>
          <w:p w14:paraId="2A2A7268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48B38DF1">
            <w:pPr>
              <w:pStyle w:val="7"/>
              <w:spacing w:before="1"/>
              <w:ind w:left="58" w:right="3"/>
              <w:rPr>
                <w:sz w:val="22"/>
              </w:rPr>
            </w:pPr>
            <w:r>
              <w:rPr>
                <w:spacing w:val="-2"/>
                <w:sz w:val="22"/>
              </w:rPr>
              <w:t>83324,158</w:t>
            </w:r>
          </w:p>
        </w:tc>
        <w:tc>
          <w:tcPr>
            <w:tcW w:w="1401" w:type="dxa"/>
          </w:tcPr>
          <w:p w14:paraId="060CA44A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547CDD10">
            <w:pPr>
              <w:pStyle w:val="7"/>
              <w:spacing w:before="1"/>
              <w:ind w:left="59" w:right="2"/>
              <w:rPr>
                <w:sz w:val="22"/>
              </w:rPr>
            </w:pPr>
            <w:r>
              <w:rPr>
                <w:spacing w:val="-2"/>
                <w:sz w:val="22"/>
              </w:rPr>
              <w:t>65699,201</w:t>
            </w:r>
          </w:p>
        </w:tc>
        <w:tc>
          <w:tcPr>
            <w:tcW w:w="1449" w:type="dxa"/>
          </w:tcPr>
          <w:p w14:paraId="403D60CD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34422E93">
            <w:pPr>
              <w:pStyle w:val="7"/>
              <w:spacing w:before="1"/>
              <w:ind w:left="60" w:right="2"/>
              <w:rPr>
                <w:sz w:val="22"/>
              </w:rPr>
            </w:pPr>
            <w:r>
              <w:rPr>
                <w:spacing w:val="-2"/>
                <w:sz w:val="22"/>
              </w:rPr>
              <w:t>2486,191</w:t>
            </w:r>
          </w:p>
        </w:tc>
        <w:tc>
          <w:tcPr>
            <w:tcW w:w="1757" w:type="dxa"/>
          </w:tcPr>
          <w:p w14:paraId="2DF3781C">
            <w:pPr>
              <w:pStyle w:val="7"/>
              <w:spacing w:before="51"/>
              <w:jc w:val="left"/>
              <w:rPr>
                <w:b/>
                <w:sz w:val="22"/>
              </w:rPr>
            </w:pPr>
          </w:p>
          <w:p w14:paraId="6AA48584">
            <w:pPr>
              <w:pStyle w:val="7"/>
              <w:spacing w:before="1"/>
              <w:ind w:left="59"/>
              <w:rPr>
                <w:sz w:val="22"/>
              </w:rPr>
            </w:pPr>
            <w:r>
              <w:rPr>
                <w:spacing w:val="-2"/>
                <w:sz w:val="22"/>
              </w:rPr>
              <w:t>423317,587</w:t>
            </w:r>
          </w:p>
        </w:tc>
      </w:tr>
    </w:tbl>
    <w:p w14:paraId="580C9ACB">
      <w:pPr>
        <w:pStyle w:val="4"/>
      </w:pPr>
    </w:p>
    <w:p w14:paraId="1DD2CAF4">
      <w:pPr>
        <w:pStyle w:val="4"/>
        <w:spacing w:before="13"/>
      </w:pPr>
    </w:p>
    <w:p w14:paraId="6E27F156">
      <w:pPr>
        <w:pStyle w:val="4"/>
        <w:spacing w:before="1" w:line="264" w:lineRule="auto"/>
        <w:ind w:left="78" w:right="1353"/>
      </w:pPr>
      <w:r>
        <w:rPr>
          <w:rFonts w:hint="default"/>
        </w:rPr>
        <w:t>Кернеу деңгейі бойынша электр энергиясы үшін төлемдерді жүзеге асыру кезінде тұтынушылар төлеген нақты шығындар жоқ.</w:t>
      </w:r>
      <w:bookmarkStart w:id="0" w:name="_GoBack"/>
      <w:bookmarkEnd w:id="0"/>
    </w:p>
    <w:sectPr>
      <w:type w:val="continuous"/>
      <w:pgSz w:w="16840" w:h="11910" w:orient="landscape"/>
      <w:pgMar w:top="1300" w:right="2409" w:bottom="280" w:left="992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9AB72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table" w:customStyle="1" w:styleId="5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pPr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2025-01-22T16:22:00Z</dcterms:created>
  <dc:creator>litvinenkolo</dc:creator>
  <cp:lastModifiedBy>dhhjs</cp:lastModifiedBy>
  <dcterms:modified xsi:type="dcterms:W3CDTF">2025-01-22T16:26:15Z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2025-01-22T00:00:00Z</vt:filetime>
  </property>
  <property fmtid="{D5CDD505-2E9C-101B-9397-08002B2CF9AE}" pid="5" name="Producer">
    <vt:lpwstr>Microsoft® Excel® 2013</vt:lpwstr>
  </property>
  <property fmtid="{D5CDD505-2E9C-101B-9397-08002B2CF9AE}" pid="6" name="KSOProductBuildVer">
    <vt:lpwstr>1033-12.2.0.19805</vt:lpwstr>
  </property>
  <property fmtid="{D5CDD505-2E9C-101B-9397-08002B2CF9AE}" pid="7" name="ICV">
    <vt:lpwstr>DBA58240EED745CB9922F2D99B87CC29_12</vt:lpwstr>
  </property>
</Properties>
</file>