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D87F7">
      <w:pPr>
        <w:pStyle w:val="4"/>
        <w:spacing w:before="46"/>
        <w:jc w:val="center"/>
        <w:rPr>
          <w:sz w:val="20"/>
        </w:rPr>
      </w:pPr>
      <w:r>
        <w:rPr>
          <w:rFonts w:hint="default"/>
        </w:rPr>
        <w:t>2023 жылға арналған баға белгілеу үшін пайдаланылатын кернеу деңгейлері бойынша бөлінген желілік ұйымның тұтынушыларына электр энергиясын беру қызметтерін көрсетуге арналған шарттар бойынша берілген электр энергиясының көлемі.</w:t>
      </w:r>
    </w:p>
    <w:tbl>
      <w:tblPr>
        <w:tblStyle w:val="3"/>
        <w:tblW w:w="0" w:type="auto"/>
        <w:tblInd w:w="63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18" w:space="0"/>
          <w:insideV w:val="single" w:color="000000" w:sz="1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9"/>
        <w:gridCol w:w="1538"/>
        <w:gridCol w:w="1709"/>
        <w:gridCol w:w="1401"/>
        <w:gridCol w:w="1449"/>
        <w:gridCol w:w="1757"/>
      </w:tblGrid>
      <w:tr w14:paraId="5237EEC3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4909" w:type="dxa"/>
          </w:tcPr>
          <w:p w14:paraId="199D6615">
            <w:pPr>
              <w:pStyle w:val="7"/>
              <w:jc w:val="left"/>
              <w:rPr>
                <w:sz w:val="18"/>
              </w:rPr>
            </w:pPr>
          </w:p>
        </w:tc>
        <w:tc>
          <w:tcPr>
            <w:tcW w:w="7854" w:type="dxa"/>
            <w:gridSpan w:val="5"/>
          </w:tcPr>
          <w:p w14:paraId="02712347">
            <w:pPr>
              <w:pStyle w:val="7"/>
              <w:spacing w:line="239" w:lineRule="exact"/>
              <w:ind w:left="49"/>
              <w:rPr>
                <w:sz w:val="22"/>
              </w:rPr>
            </w:pPr>
            <w:r>
              <w:rPr>
                <w:sz w:val="22"/>
              </w:rPr>
              <w:t>Уровень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напряжения</w:t>
            </w:r>
          </w:p>
        </w:tc>
      </w:tr>
      <w:tr w14:paraId="2D9151BF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4909" w:type="dxa"/>
            <w:vMerge w:val="restart"/>
          </w:tcPr>
          <w:p w14:paraId="281C1A95">
            <w:pPr>
              <w:pStyle w:val="7"/>
              <w:spacing w:before="49"/>
              <w:jc w:val="left"/>
              <w:rPr>
                <w:b/>
                <w:sz w:val="22"/>
              </w:rPr>
            </w:pPr>
          </w:p>
          <w:p w14:paraId="5023C417">
            <w:pPr>
              <w:pStyle w:val="7"/>
              <w:ind w:left="131"/>
              <w:jc w:val="left"/>
              <w:rPr>
                <w:sz w:val="22"/>
              </w:rPr>
            </w:pPr>
            <w:r>
              <w:rPr>
                <w:rFonts w:hint="default"/>
                <w:sz w:val="22"/>
              </w:rPr>
              <w:t>Электр энергиясын тасымалдау көлемі, МВт/сағ</w:t>
            </w:r>
          </w:p>
        </w:tc>
        <w:tc>
          <w:tcPr>
            <w:tcW w:w="1538" w:type="dxa"/>
          </w:tcPr>
          <w:p w14:paraId="0F6645E5">
            <w:pPr>
              <w:pStyle w:val="7"/>
              <w:spacing w:line="239" w:lineRule="exact"/>
              <w:ind w:left="48"/>
              <w:rPr>
                <w:sz w:val="22"/>
              </w:rPr>
            </w:pPr>
            <w:r>
              <w:rPr>
                <w:spacing w:val="-5"/>
                <w:sz w:val="22"/>
              </w:rPr>
              <w:t>ВН</w:t>
            </w:r>
          </w:p>
        </w:tc>
        <w:tc>
          <w:tcPr>
            <w:tcW w:w="1709" w:type="dxa"/>
          </w:tcPr>
          <w:p w14:paraId="15D91B0B">
            <w:pPr>
              <w:pStyle w:val="7"/>
              <w:spacing w:line="239" w:lineRule="exact"/>
              <w:ind w:left="58"/>
              <w:rPr>
                <w:sz w:val="22"/>
              </w:rPr>
            </w:pPr>
            <w:r>
              <w:rPr>
                <w:spacing w:val="-4"/>
                <w:sz w:val="22"/>
              </w:rPr>
              <w:t>СН-</w:t>
            </w:r>
            <w:r>
              <w:rPr>
                <w:spacing w:val="-10"/>
                <w:sz w:val="22"/>
              </w:rPr>
              <w:t>1</w:t>
            </w:r>
          </w:p>
        </w:tc>
        <w:tc>
          <w:tcPr>
            <w:tcW w:w="1401" w:type="dxa"/>
          </w:tcPr>
          <w:p w14:paraId="35A5DCEA">
            <w:pPr>
              <w:pStyle w:val="7"/>
              <w:spacing w:line="239" w:lineRule="exact"/>
              <w:ind w:left="59"/>
              <w:rPr>
                <w:sz w:val="22"/>
              </w:rPr>
            </w:pPr>
            <w:r>
              <w:rPr>
                <w:spacing w:val="-4"/>
                <w:sz w:val="22"/>
              </w:rPr>
              <w:t>СН-</w:t>
            </w:r>
            <w:r>
              <w:rPr>
                <w:spacing w:val="-10"/>
                <w:sz w:val="22"/>
              </w:rPr>
              <w:t>2</w:t>
            </w:r>
          </w:p>
        </w:tc>
        <w:tc>
          <w:tcPr>
            <w:tcW w:w="1449" w:type="dxa"/>
          </w:tcPr>
          <w:p w14:paraId="74776E52">
            <w:pPr>
              <w:pStyle w:val="7"/>
              <w:spacing w:line="239" w:lineRule="exact"/>
              <w:ind w:left="60"/>
              <w:rPr>
                <w:sz w:val="22"/>
              </w:rPr>
            </w:pPr>
            <w:r>
              <w:rPr>
                <w:spacing w:val="-5"/>
                <w:sz w:val="22"/>
              </w:rPr>
              <w:t>НН</w:t>
            </w:r>
          </w:p>
        </w:tc>
        <w:tc>
          <w:tcPr>
            <w:tcW w:w="1757" w:type="dxa"/>
          </w:tcPr>
          <w:p w14:paraId="0931B550">
            <w:pPr>
              <w:pStyle w:val="7"/>
              <w:spacing w:line="239" w:lineRule="exact"/>
              <w:ind w:left="59"/>
              <w:rPr>
                <w:sz w:val="22"/>
              </w:rPr>
            </w:pPr>
            <w:r>
              <w:rPr>
                <w:spacing w:val="-2"/>
                <w:sz w:val="22"/>
              </w:rPr>
              <w:t>Всего</w:t>
            </w:r>
          </w:p>
        </w:tc>
      </w:tr>
      <w:tr w14:paraId="68146809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4909" w:type="dxa"/>
            <w:vMerge w:val="continue"/>
            <w:tcBorders>
              <w:top w:val="nil"/>
            </w:tcBorders>
          </w:tcPr>
          <w:p w14:paraId="549B3EE4">
            <w:pPr>
              <w:rPr>
                <w:sz w:val="2"/>
                <w:szCs w:val="2"/>
              </w:rPr>
            </w:pPr>
          </w:p>
        </w:tc>
        <w:tc>
          <w:tcPr>
            <w:tcW w:w="1538" w:type="dxa"/>
          </w:tcPr>
          <w:p w14:paraId="31134FF4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23A4A316">
            <w:pPr>
              <w:pStyle w:val="7"/>
              <w:spacing w:before="1"/>
              <w:ind w:left="48"/>
              <w:rPr>
                <w:sz w:val="22"/>
              </w:rPr>
            </w:pPr>
            <w:r>
              <w:rPr>
                <w:spacing w:val="-2"/>
                <w:sz w:val="22"/>
              </w:rPr>
              <w:t>255757,008</w:t>
            </w:r>
          </w:p>
        </w:tc>
        <w:tc>
          <w:tcPr>
            <w:tcW w:w="1709" w:type="dxa"/>
          </w:tcPr>
          <w:p w14:paraId="03664BEC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2D0AA23D">
            <w:pPr>
              <w:pStyle w:val="7"/>
              <w:spacing w:before="1"/>
              <w:ind w:left="58" w:right="3"/>
              <w:rPr>
                <w:sz w:val="22"/>
              </w:rPr>
            </w:pPr>
            <w:r>
              <w:rPr>
                <w:spacing w:val="-2"/>
                <w:sz w:val="22"/>
              </w:rPr>
              <w:t>84443,107</w:t>
            </w:r>
          </w:p>
        </w:tc>
        <w:tc>
          <w:tcPr>
            <w:tcW w:w="1401" w:type="dxa"/>
          </w:tcPr>
          <w:p w14:paraId="7AF0C518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7EBCFC9D">
            <w:pPr>
              <w:pStyle w:val="7"/>
              <w:spacing w:before="1"/>
              <w:ind w:left="59" w:right="2"/>
              <w:rPr>
                <w:sz w:val="22"/>
              </w:rPr>
            </w:pPr>
            <w:r>
              <w:rPr>
                <w:spacing w:val="-2"/>
                <w:sz w:val="22"/>
              </w:rPr>
              <w:t>61091,571</w:t>
            </w:r>
          </w:p>
        </w:tc>
        <w:tc>
          <w:tcPr>
            <w:tcW w:w="1449" w:type="dxa"/>
          </w:tcPr>
          <w:p w14:paraId="08885323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2BB63494">
            <w:pPr>
              <w:pStyle w:val="7"/>
              <w:spacing w:before="1"/>
              <w:ind w:left="60" w:right="2"/>
              <w:rPr>
                <w:sz w:val="22"/>
              </w:rPr>
            </w:pPr>
            <w:r>
              <w:rPr>
                <w:spacing w:val="-2"/>
                <w:sz w:val="22"/>
              </w:rPr>
              <w:t>2546,225</w:t>
            </w:r>
          </w:p>
        </w:tc>
        <w:tc>
          <w:tcPr>
            <w:tcW w:w="1757" w:type="dxa"/>
          </w:tcPr>
          <w:p w14:paraId="6013D07A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73EA63F1">
            <w:pPr>
              <w:pStyle w:val="7"/>
              <w:spacing w:before="1"/>
              <w:ind w:left="59"/>
              <w:rPr>
                <w:sz w:val="22"/>
              </w:rPr>
            </w:pPr>
            <w:r>
              <w:rPr>
                <w:spacing w:val="-2"/>
                <w:sz w:val="22"/>
              </w:rPr>
              <w:t>403837,911</w:t>
            </w:r>
          </w:p>
        </w:tc>
      </w:tr>
    </w:tbl>
    <w:p w14:paraId="17524D89">
      <w:pPr>
        <w:pStyle w:val="4"/>
      </w:pPr>
    </w:p>
    <w:p w14:paraId="2E45EFBB">
      <w:pPr>
        <w:pStyle w:val="4"/>
        <w:spacing w:before="13"/>
      </w:pPr>
    </w:p>
    <w:p w14:paraId="2D81E045">
      <w:pPr>
        <w:pStyle w:val="4"/>
        <w:spacing w:before="1" w:line="264" w:lineRule="auto"/>
        <w:ind w:left="78" w:right="1353"/>
      </w:pPr>
      <w:r>
        <w:rPr>
          <w:rFonts w:hint="default"/>
        </w:rPr>
        <w:t>Кернеу деңгейі бойынша электр энергиясы үшін төлемдерді жүзеге асыру кезінде тұтынушылар төлеген нақты шығындар жоқ.</w:t>
      </w:r>
      <w:bookmarkStart w:id="0" w:name="_GoBack"/>
      <w:bookmarkEnd w:id="0"/>
    </w:p>
    <w:sectPr>
      <w:type w:val="continuous"/>
      <w:pgSz w:w="16840" w:h="11910" w:orient="landscape"/>
      <w:pgMar w:top="1300" w:right="2409" w:bottom="280" w:left="992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60B737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table" w:customStyle="1" w:styleId="5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pPr>
      <w:jc w:val="center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1</TotalTime>
  <ScaleCrop>false</ScaleCrop>
  <LinksUpToDate>false</LinksUpToDate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2025-01-22T16:22:00Z</dcterms:created>
  <dc:creator>litvinenkolo</dc:creator>
  <cp:lastModifiedBy>dhhjs</cp:lastModifiedBy>
  <dcterms:modified xsi:type="dcterms:W3CDTF">2025-01-22T16:24:54Z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2025-01-22T00:00:00Z</vt:filetime>
  </property>
  <property fmtid="{D5CDD505-2E9C-101B-9397-08002B2CF9AE}" pid="5" name="Producer">
    <vt:lpwstr>Microsoft® Excel® 2013</vt:lpwstr>
  </property>
  <property fmtid="{D5CDD505-2E9C-101B-9397-08002B2CF9AE}" pid="6" name="KSOProductBuildVer">
    <vt:lpwstr>1033-12.2.0.19805</vt:lpwstr>
  </property>
  <property fmtid="{D5CDD505-2E9C-101B-9397-08002B2CF9AE}" pid="7" name="ICV">
    <vt:lpwstr>68AF712E674F43F387664EBF64220EC2_12</vt:lpwstr>
  </property>
</Properties>
</file>